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B1596">
      <w:pPr>
        <w:pStyle w:val="6"/>
        <w:spacing w:before="120" w:after="0" w:line="480" w:lineRule="auto"/>
        <w:jc w:val="center"/>
        <w:rPr>
          <w:rFonts w:hint="eastAsia" w:ascii="宋体" w:hAnsi="宋体" w:cs="宋体"/>
          <w:highlight w:val="none"/>
        </w:rPr>
      </w:pPr>
      <w:r>
        <w:rPr>
          <w:rFonts w:hint="eastAsia" w:ascii="宋体" w:hAnsi="宋体" w:cs="宋体"/>
          <w:sz w:val="36"/>
          <w:highlight w:val="none"/>
        </w:rPr>
        <w:t>大数据集团2025年度质量监管服务项目</w:t>
      </w:r>
      <w:bookmarkStart w:id="0" w:name="_GoBack"/>
      <w:bookmarkEnd w:id="0"/>
      <w:r>
        <w:rPr>
          <w:rFonts w:hint="eastAsia" w:ascii="宋体" w:hAnsi="宋体" w:cs="宋体"/>
          <w:sz w:val="36"/>
          <w:highlight w:val="none"/>
        </w:rPr>
        <w:t>招标公告</w:t>
      </w:r>
    </w:p>
    <w:p w14:paraId="30DDFFBA">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一、招标条件</w:t>
      </w:r>
    </w:p>
    <w:p w14:paraId="229E1281">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lang w:eastAsia="zh-CN"/>
        </w:rPr>
        <w:t>大数据集团2025年度质量监管服务项目</w:t>
      </w:r>
      <w:r>
        <w:rPr>
          <w:rFonts w:hint="eastAsia" w:ascii="宋体" w:hAnsi="宋体" w:eastAsia="宋体" w:cs="宋体"/>
          <w:sz w:val="21"/>
          <w:szCs w:val="21"/>
          <w:highlight w:val="none"/>
        </w:rPr>
        <w:t>已经批准建设，所需资金来源自筹并已落实。已具备招标条件，现对该项目进行公开招标。本次招标对投标人的资格审查，采用资格后审方法选择合格的投标申请人参加投标。</w:t>
      </w:r>
    </w:p>
    <w:p w14:paraId="747CA7A3">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二、项目概况</w:t>
      </w:r>
    </w:p>
    <w:p w14:paraId="64584BAC">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1、项目名称：</w:t>
      </w:r>
      <w:r>
        <w:rPr>
          <w:rFonts w:hint="eastAsia" w:ascii="宋体" w:hAnsi="宋体" w:eastAsia="宋体" w:cs="宋体"/>
          <w:sz w:val="21"/>
          <w:szCs w:val="21"/>
          <w:highlight w:val="none"/>
          <w:lang w:eastAsia="zh-CN"/>
        </w:rPr>
        <w:t>大数据集团2025年度质量监管服务项目</w:t>
      </w:r>
      <w:r>
        <w:rPr>
          <w:rFonts w:hint="eastAsia" w:ascii="宋体" w:hAnsi="宋体" w:eastAsia="宋体" w:cs="宋体"/>
          <w:sz w:val="21"/>
          <w:szCs w:val="21"/>
          <w:highlight w:val="none"/>
        </w:rPr>
        <w:t>。</w:t>
      </w:r>
    </w:p>
    <w:p w14:paraId="7C920959">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2、建设单位：盐城市大数据集团有限公司。</w:t>
      </w:r>
    </w:p>
    <w:p w14:paraId="4531C264">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项目</w:t>
      </w:r>
      <w:r>
        <w:rPr>
          <w:rFonts w:hint="eastAsia" w:ascii="宋体" w:hAnsi="宋体" w:eastAsia="宋体" w:cs="宋体"/>
          <w:sz w:val="21"/>
          <w:szCs w:val="21"/>
          <w:highlight w:val="none"/>
        </w:rPr>
        <w:t>地点：</w:t>
      </w:r>
      <w:r>
        <w:rPr>
          <w:rFonts w:hint="eastAsia" w:ascii="宋体" w:hAnsi="宋体" w:eastAsia="宋体" w:cs="宋体"/>
          <w:sz w:val="21"/>
          <w:szCs w:val="21"/>
          <w:highlight w:val="none"/>
          <w:u w:val="single"/>
        </w:rPr>
        <w:t>大数据</w:t>
      </w:r>
      <w:r>
        <w:rPr>
          <w:rFonts w:hint="eastAsia" w:ascii="宋体" w:hAnsi="宋体" w:eastAsia="宋体" w:cs="宋体"/>
          <w:sz w:val="21"/>
          <w:szCs w:val="21"/>
          <w:highlight w:val="none"/>
          <w:u w:val="single"/>
          <w:lang w:val="en-US" w:eastAsia="zh-CN"/>
        </w:rPr>
        <w:t>产业园</w:t>
      </w:r>
      <w:r>
        <w:rPr>
          <w:rFonts w:hint="eastAsia" w:ascii="宋体" w:hAnsi="宋体" w:eastAsia="宋体" w:cs="宋体"/>
          <w:sz w:val="21"/>
          <w:szCs w:val="21"/>
          <w:highlight w:val="none"/>
        </w:rPr>
        <w:t>。</w:t>
      </w:r>
    </w:p>
    <w:p w14:paraId="55AA1E6D">
      <w:pPr>
        <w:widowControl/>
        <w:spacing w:line="480" w:lineRule="exact"/>
        <w:ind w:firstLine="480"/>
        <w:rPr>
          <w:rFonts w:ascii="宋体" w:hAnsi="宋体" w:eastAsia="宋体" w:cs="宋体"/>
          <w:color w:val="auto"/>
          <w:sz w:val="21"/>
          <w:szCs w:val="21"/>
          <w:highlight w:val="none"/>
        </w:rPr>
      </w:pPr>
      <w:r>
        <w:rPr>
          <w:rFonts w:hint="eastAsia" w:ascii="宋体" w:hAnsi="宋体" w:eastAsia="宋体" w:cs="宋体"/>
          <w:sz w:val="21"/>
          <w:szCs w:val="21"/>
          <w:highlight w:val="none"/>
        </w:rPr>
        <w:t>4、项目规模</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服务费</w:t>
      </w:r>
      <w:r>
        <w:rPr>
          <w:rFonts w:hint="eastAsia" w:ascii="宋体" w:hAnsi="宋体" w:eastAsia="宋体" w:cs="宋体"/>
          <w:color w:val="auto"/>
          <w:sz w:val="21"/>
          <w:szCs w:val="21"/>
          <w:highlight w:val="none"/>
        </w:rPr>
        <w:t>约</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48</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w:t>
      </w:r>
    </w:p>
    <w:p w14:paraId="7ACE3627">
      <w:pPr>
        <w:widowControl/>
        <w:spacing w:line="480" w:lineRule="exact"/>
        <w:ind w:firstLine="480"/>
        <w:rPr>
          <w:rFonts w:hint="eastAsia" w:ascii="宋体" w:hAnsi="宋体" w:eastAsia="宋体" w:cs="宋体"/>
          <w:sz w:val="21"/>
          <w:szCs w:val="21"/>
          <w:highlight w:val="none"/>
        </w:rPr>
      </w:pPr>
      <w:r>
        <w:rPr>
          <w:rFonts w:hint="eastAsia" w:ascii="宋体" w:hAnsi="宋体" w:eastAsia="宋体" w:cs="宋体"/>
          <w:sz w:val="21"/>
          <w:szCs w:val="21"/>
          <w:highlight w:val="none"/>
        </w:rPr>
        <w:t>5、质量要求：合格标准，</w:t>
      </w:r>
      <w:r>
        <w:rPr>
          <w:rFonts w:hint="eastAsia" w:ascii="Times New Roman" w:hAnsi="宋体" w:eastAsia="宋体" w:cs="Times New Roman"/>
          <w:color w:val="auto"/>
          <w:kern w:val="2"/>
          <w:sz w:val="21"/>
          <w:szCs w:val="21"/>
          <w:highlight w:val="none"/>
          <w:lang w:val="en-US" w:eastAsia="zh-CN" w:bidi="ar-SA"/>
        </w:rPr>
        <w:t>每次检查结束须提供详细的检查报告，编制的报告满足相关行业规范，并通过招标人的批准</w:t>
      </w:r>
      <w:r>
        <w:rPr>
          <w:rFonts w:hint="eastAsia" w:ascii="宋体" w:hAnsi="宋体" w:eastAsia="宋体" w:cs="宋体"/>
          <w:sz w:val="21"/>
          <w:szCs w:val="21"/>
          <w:highlight w:val="none"/>
        </w:rPr>
        <w:t>。</w:t>
      </w:r>
    </w:p>
    <w:p w14:paraId="72071269">
      <w:pPr>
        <w:widowControl/>
        <w:spacing w:line="480" w:lineRule="exact"/>
        <w:ind w:firstLine="48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6、服务期：一年。</w:t>
      </w:r>
      <w:r>
        <w:rPr>
          <w:rFonts w:hint="eastAsia" w:ascii="宋体" w:hAnsi="宋体" w:eastAsia="宋体" w:cs="宋体"/>
          <w:color w:val="auto"/>
          <w:sz w:val="21"/>
          <w:szCs w:val="21"/>
          <w:highlight w:val="none"/>
          <w:lang w:val="en-US" w:eastAsia="zh-CN"/>
        </w:rPr>
        <w:t>投标时工期填写365日历天。中标人每月根据招标人要求对项目至少进行一次质量评估，并出具相关检查、评估报告。每次检查结束后三日内向招标人提供详细的检查报告。检查报告内容包含但不限于：质量检查表，月度质量、项目工程质量、月度总结报告。</w:t>
      </w:r>
    </w:p>
    <w:p w14:paraId="28750C37">
      <w:pPr>
        <w:widowControl/>
        <w:spacing w:line="480" w:lineRule="exact"/>
        <w:ind w:firstLine="48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7、招标</w:t>
      </w:r>
      <w:r>
        <w:rPr>
          <w:rFonts w:hint="eastAsia" w:ascii="宋体" w:hAnsi="宋体" w:eastAsia="宋体" w:cs="宋体"/>
          <w:sz w:val="21"/>
          <w:szCs w:val="21"/>
          <w:highlight w:val="none"/>
          <w:lang w:val="en-US" w:eastAsia="zh-CN"/>
        </w:rPr>
        <w:t>内容</w:t>
      </w:r>
      <w:r>
        <w:rPr>
          <w:rFonts w:hint="eastAsia" w:ascii="宋体" w:hAnsi="宋体" w:eastAsia="宋体" w:cs="宋体"/>
          <w:sz w:val="21"/>
          <w:szCs w:val="21"/>
          <w:highlight w:val="none"/>
        </w:rPr>
        <w:t>：集团各部门及子公司的工程建设项目质量</w:t>
      </w:r>
      <w:r>
        <w:rPr>
          <w:rFonts w:hint="eastAsia" w:ascii="宋体" w:hAnsi="宋体" w:eastAsia="宋体" w:cs="宋体"/>
          <w:sz w:val="21"/>
          <w:szCs w:val="21"/>
          <w:highlight w:val="none"/>
          <w:lang w:val="en-US" w:eastAsia="zh-CN"/>
        </w:rPr>
        <w:t>检</w:t>
      </w:r>
      <w:r>
        <w:rPr>
          <w:rFonts w:hint="eastAsia" w:ascii="宋体" w:hAnsi="宋体" w:eastAsia="宋体" w:cs="宋体"/>
          <w:sz w:val="21"/>
          <w:szCs w:val="21"/>
          <w:highlight w:val="none"/>
        </w:rPr>
        <w:t>查及项目交付质量评估等服务工作。</w:t>
      </w:r>
    </w:p>
    <w:p w14:paraId="1A06003D">
      <w:pPr>
        <w:widowControl/>
        <w:spacing w:line="480" w:lineRule="exact"/>
        <w:ind w:firstLine="480"/>
        <w:jc w:val="left"/>
        <w:rPr>
          <w:rFonts w:hint="eastAsia" w:ascii="宋体" w:hAnsi="宋体" w:eastAsia="宋体" w:cs="宋体"/>
          <w:sz w:val="21"/>
          <w:szCs w:val="21"/>
          <w:highlight w:val="none"/>
          <w:lang w:val="zh-CN" w:eastAsia="zh-CN"/>
        </w:rPr>
      </w:pPr>
      <w:r>
        <w:rPr>
          <w:rFonts w:hint="eastAsia" w:ascii="宋体" w:hAnsi="宋体" w:eastAsia="宋体" w:cs="宋体"/>
          <w:sz w:val="21"/>
          <w:szCs w:val="21"/>
          <w:highlight w:val="none"/>
          <w:lang w:val="en-US" w:eastAsia="zh-CN"/>
        </w:rPr>
        <w:t>8、服务范围：集团工程所有在建项目，</w:t>
      </w:r>
      <w:r>
        <w:rPr>
          <w:rFonts w:hint="eastAsia" w:ascii="宋体" w:hAnsi="宋体" w:eastAsia="宋体" w:cs="宋体"/>
          <w:sz w:val="21"/>
          <w:szCs w:val="21"/>
          <w:highlight w:val="none"/>
          <w:lang w:val="zh-CN" w:eastAsia="zh-CN"/>
        </w:rPr>
        <w:t>集团建设项目实体</w:t>
      </w:r>
      <w:r>
        <w:rPr>
          <w:rFonts w:hint="eastAsia" w:ascii="宋体" w:hAnsi="宋体" w:eastAsia="宋体" w:cs="宋体"/>
          <w:sz w:val="21"/>
          <w:szCs w:val="21"/>
          <w:highlight w:val="none"/>
          <w:lang w:val="en-US" w:eastAsia="zh-CN"/>
        </w:rPr>
        <w:t>质量和管理行为检查，包含但不限于隐蔽工程验收、分部分项工程报验、工程竣工验收前提供相关第三方检测报告、相关质量培训工作等，具体服务范围以招标人通知为准</w:t>
      </w:r>
      <w:r>
        <w:rPr>
          <w:rFonts w:hint="eastAsia" w:ascii="宋体" w:hAnsi="宋体" w:eastAsia="宋体" w:cs="宋体"/>
          <w:sz w:val="21"/>
          <w:szCs w:val="21"/>
          <w:highlight w:val="none"/>
          <w:lang w:val="zh-CN" w:eastAsia="zh-CN"/>
        </w:rPr>
        <w:t>。</w:t>
      </w:r>
    </w:p>
    <w:p w14:paraId="1A56F294">
      <w:pPr>
        <w:widowControl/>
        <w:spacing w:line="480" w:lineRule="exact"/>
        <w:ind w:firstLine="480"/>
        <w:jc w:val="left"/>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9、服务要求：对工程项目进行公正、客观的质量评价，发现问题和风险及时通知整改和防范。建立质量评价机制，可对施工、监理等合作单位起到监督、考察作用，最大限度保障工程产品的交付质量。具体详见招标文件要求。</w:t>
      </w:r>
    </w:p>
    <w:p w14:paraId="3ED6A445">
      <w:pPr>
        <w:widowControl/>
        <w:spacing w:line="480" w:lineRule="exact"/>
        <w:ind w:firstLine="480"/>
        <w:jc w:val="left"/>
        <w:rPr>
          <w:rFonts w:ascii="宋体" w:hAnsi="宋体" w:eastAsia="宋体" w:cs="宋体"/>
          <w:sz w:val="21"/>
          <w:szCs w:val="21"/>
          <w:highlight w:val="none"/>
        </w:rPr>
      </w:pPr>
      <w:r>
        <w:rPr>
          <w:rFonts w:hint="eastAsia" w:ascii="宋体" w:hAnsi="宋体" w:eastAsia="宋体" w:cs="宋体"/>
          <w:sz w:val="21"/>
          <w:szCs w:val="21"/>
          <w:highlight w:val="none"/>
        </w:rPr>
        <w:t>三、投标人应当具备的主要资格条件</w:t>
      </w:r>
    </w:p>
    <w:p w14:paraId="17A579EF">
      <w:pPr>
        <w:widowControl/>
        <w:spacing w:line="480" w:lineRule="exact"/>
        <w:ind w:firstLine="480"/>
        <w:jc w:val="left"/>
        <w:rPr>
          <w:rFonts w:hint="eastAsia" w:ascii="宋体" w:hAnsi="宋体" w:eastAsia="宋体" w:cs="宋体"/>
          <w:color w:val="auto"/>
          <w:sz w:val="21"/>
          <w:szCs w:val="21"/>
          <w:highlight w:val="none"/>
        </w:rPr>
      </w:pPr>
      <w:r>
        <w:rPr>
          <w:rFonts w:hint="eastAsia" w:ascii="宋体" w:hAnsi="宋体" w:eastAsia="宋体" w:cs="宋体"/>
          <w:sz w:val="21"/>
          <w:szCs w:val="21"/>
          <w:highlight w:val="none"/>
        </w:rPr>
        <w:t>1、</w:t>
      </w:r>
      <w:r>
        <w:rPr>
          <w:rFonts w:hint="eastAsia" w:ascii="宋体" w:hAnsi="宋体" w:eastAsia="宋体" w:cs="宋体"/>
          <w:color w:val="auto"/>
          <w:sz w:val="21"/>
          <w:szCs w:val="21"/>
          <w:highlight w:val="none"/>
        </w:rPr>
        <w:t>投标人资质类别和等级：投标人须是在中国境内注册，具有能力独立完成本次招标内容的独立法人。</w:t>
      </w:r>
    </w:p>
    <w:p w14:paraId="53AFD842">
      <w:pPr>
        <w:widowControl/>
        <w:spacing w:line="480" w:lineRule="exact"/>
        <w:ind w:firstLine="48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2、项目负责人资格要求：项目负责人须具有一级注册建造师或注册监理工程师，且同时具有高级技术职称。</w:t>
      </w:r>
    </w:p>
    <w:p w14:paraId="3E170F53">
      <w:pPr>
        <w:widowControl/>
        <w:spacing w:line="480" w:lineRule="exact"/>
        <w:ind w:firstLine="480"/>
        <w:jc w:val="left"/>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项目组成员资格要求：除项目负责人以外至少3人，具有相关专业的注册证书或执业证书或中级及以上职称证书，相关专业为房屋建筑、市政公用、机电安装专业各一名。本项目要求不少于2人现场驻场服务。</w:t>
      </w:r>
    </w:p>
    <w:p w14:paraId="5B45B995">
      <w:pPr>
        <w:widowControl/>
        <w:spacing w:line="480" w:lineRule="exact"/>
        <w:ind w:firstLine="480"/>
        <w:jc w:val="left"/>
        <w:rPr>
          <w:rFonts w:ascii="宋体" w:hAnsi="宋体" w:eastAsia="宋体" w:cs="宋体"/>
          <w:sz w:val="21"/>
          <w:szCs w:val="21"/>
          <w:highlight w:val="none"/>
        </w:rPr>
      </w:pPr>
      <w:r>
        <w:rPr>
          <w:rFonts w:hint="eastAsia" w:ascii="宋体" w:hAnsi="宋体" w:eastAsia="宋体" w:cs="宋体"/>
          <w:sz w:val="21"/>
          <w:szCs w:val="21"/>
          <w:highlight w:val="none"/>
        </w:rPr>
        <w:t>2、本次招标不接受联合体投标。</w:t>
      </w:r>
    </w:p>
    <w:p w14:paraId="00670D70">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3、其他要求：</w:t>
      </w:r>
    </w:p>
    <w:p w14:paraId="5413BF9F">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3.1财务要求：投标人应具有独立订立合同的能力，未处于财产被接管、冻结和破产状态。</w:t>
      </w:r>
    </w:p>
    <w:p w14:paraId="57EB02D8">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 xml:space="preserve">3.2业绩要求：无。       </w:t>
      </w:r>
    </w:p>
    <w:p w14:paraId="0A3B7F9A">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3.3信誉要求：投标人不得存在下列情形：</w:t>
      </w:r>
    </w:p>
    <w:p w14:paraId="5F95E18A">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3.3.1被国家、江苏本省省级有关部门及盐城本市市级、盐南高新区有关部门暂停招投标或市场准入资格且在公示处罚期内的。</w:t>
      </w:r>
    </w:p>
    <w:p w14:paraId="1B9BC938">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3.3.2近3年内有行贿犯罪行为且被记录，或者法定代表人、项目负责人有行贿犯罪记录且自记录之日起未超过5年的。（均自记录之日起至投标截止日止）</w:t>
      </w:r>
    </w:p>
    <w:p w14:paraId="47D7DE9A">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 xml:space="preserve">3.3.3被人民法院列为失信被执行人的信息正在被“信用中国”、“信用江苏”网站公布的，投标截止时间前失信被执行人信息已撤销或更正的除外。 </w:t>
      </w:r>
    </w:p>
    <w:p w14:paraId="3A278DEB">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3.3.4投标人作为失信联合惩戒对象被采取依法限制参与建设工程招投标惩戒措施的，且被有关部门推送在“信用中国”、“信用江苏”、“信用盐城”相关网站公示且在有效期内的。</w:t>
      </w:r>
    </w:p>
    <w:p w14:paraId="6953C788">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凡存在以上情形之一的，本项目招标人拒绝其投标，一经发现资格审查不予通过，不得被确定为中标候选人、中标人。在一次招投标活动中，相关参与人因上述情形，导致其资格预审不通过或者被取消中标候选人资格、中标人资格的，不因其之后情况的变化，改变已经作出的决定。</w:t>
      </w:r>
    </w:p>
    <w:p w14:paraId="70288C5A">
      <w:pPr>
        <w:widowControl/>
        <w:spacing w:line="480" w:lineRule="exact"/>
        <w:ind w:firstLine="480"/>
        <w:rPr>
          <w:rFonts w:ascii="Calibri" w:hAnsi="Calibri" w:eastAsia="宋体" w:cs="Times New Roman"/>
          <w:sz w:val="21"/>
          <w:szCs w:val="24"/>
          <w:highlight w:val="none"/>
        </w:rPr>
      </w:pPr>
      <w:r>
        <w:rPr>
          <w:rFonts w:hint="eastAsia" w:ascii="Calibri" w:hAnsi="Calibri" w:eastAsia="宋体" w:cs="Times New Roman"/>
          <w:sz w:val="21"/>
          <w:szCs w:val="24"/>
          <w:highlight w:val="none"/>
        </w:rPr>
        <w:t>3.4.标申请人授权委托人及投标承诺的项目部人员均为本单位的正式职工，投标时提供</w:t>
      </w:r>
      <w:r>
        <w:rPr>
          <w:rFonts w:hint="eastAsia" w:ascii="Calibri" w:hAnsi="Calibri" w:eastAsia="宋体" w:cs="Times New Roman"/>
          <w:color w:val="FF0000"/>
          <w:sz w:val="21"/>
          <w:szCs w:val="24"/>
          <w:highlight w:val="none"/>
        </w:rPr>
        <w:t>项目负责人</w:t>
      </w:r>
      <w:r>
        <w:rPr>
          <w:rFonts w:hint="eastAsia" w:ascii="Calibri" w:hAnsi="Calibri" w:eastAsia="宋体" w:cs="Times New Roman"/>
          <w:color w:val="FF0000"/>
          <w:sz w:val="21"/>
          <w:szCs w:val="24"/>
          <w:highlight w:val="none"/>
          <w:lang w:val="en-US" w:eastAsia="zh-CN"/>
        </w:rPr>
        <w:t>及授权委托人</w:t>
      </w:r>
      <w:r>
        <w:rPr>
          <w:rFonts w:hint="eastAsia" w:ascii="Calibri" w:hAnsi="Calibri" w:eastAsia="宋体" w:cs="Times New Roman"/>
          <w:sz w:val="21"/>
          <w:szCs w:val="24"/>
          <w:highlight w:val="none"/>
        </w:rPr>
        <w:t>从202</w:t>
      </w:r>
      <w:r>
        <w:rPr>
          <w:rFonts w:hint="eastAsia" w:ascii="Calibri" w:hAnsi="Calibri" w:eastAsia="宋体" w:cs="Times New Roman"/>
          <w:sz w:val="21"/>
          <w:szCs w:val="24"/>
          <w:highlight w:val="none"/>
          <w:lang w:val="en-US" w:eastAsia="zh-CN"/>
        </w:rPr>
        <w:t>5</w:t>
      </w:r>
      <w:r>
        <w:rPr>
          <w:rFonts w:hint="eastAsia" w:ascii="Calibri" w:hAnsi="Calibri" w:eastAsia="宋体" w:cs="Times New Roman"/>
          <w:sz w:val="21"/>
          <w:szCs w:val="24"/>
          <w:highlight w:val="none"/>
        </w:rPr>
        <w:t>年</w:t>
      </w:r>
      <w:r>
        <w:rPr>
          <w:rFonts w:hint="eastAsia" w:ascii="Calibri" w:hAnsi="Calibri" w:eastAsia="宋体" w:cs="Times New Roman"/>
          <w:sz w:val="21"/>
          <w:szCs w:val="24"/>
          <w:highlight w:val="none"/>
          <w:lang w:val="en-US" w:eastAsia="zh-CN"/>
        </w:rPr>
        <w:t>2</w:t>
      </w:r>
      <w:r>
        <w:rPr>
          <w:rFonts w:hint="eastAsia" w:ascii="Calibri" w:hAnsi="Calibri" w:eastAsia="宋体" w:cs="Times New Roman"/>
          <w:sz w:val="21"/>
          <w:szCs w:val="24"/>
          <w:highlight w:val="none"/>
        </w:rPr>
        <w:t>月开始至投标截止之日当月至少1个月在本单位缴纳养老保险缴费记录证明。（退休人员提供在本单位相关证明。）除项目负责人的其他项目部人员投标时无需提供缴费记录证明，中标候选人公示前、异议（投诉）提出时相关单位需提供缴费记录证明原件给招标人核验。</w:t>
      </w:r>
    </w:p>
    <w:p w14:paraId="5742CDCD">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四、招标文件的领取与递交</w:t>
      </w:r>
    </w:p>
    <w:p w14:paraId="5C06A45B">
      <w:pPr>
        <w:widowControl/>
        <w:spacing w:line="480" w:lineRule="exact"/>
        <w:ind w:firstLine="480"/>
        <w:rPr>
          <w:rFonts w:ascii="Calibri" w:hAnsi="Calibri" w:eastAsia="宋体" w:cs="Times New Roman"/>
          <w:sz w:val="21"/>
          <w:szCs w:val="24"/>
          <w:highlight w:val="none"/>
        </w:rPr>
      </w:pPr>
      <w:r>
        <w:rPr>
          <w:rFonts w:hint="eastAsia" w:ascii="Calibri" w:hAnsi="Calibri" w:eastAsia="宋体" w:cs="Times New Roman"/>
          <w:sz w:val="21"/>
          <w:szCs w:val="24"/>
          <w:highlight w:val="none"/>
        </w:rPr>
        <w:t>1、本招标公告发布后凡具备上述主要资格条件，并自愿参加本项目投标的申请人于</w:t>
      </w:r>
      <w:r>
        <w:rPr>
          <w:rFonts w:hint="eastAsia" w:ascii="Calibri" w:hAnsi="Calibri" w:eastAsia="宋体" w:cs="Times New Roman"/>
          <w:b/>
          <w:bCs/>
          <w:sz w:val="21"/>
          <w:szCs w:val="24"/>
          <w:highlight w:val="none"/>
        </w:rPr>
        <w:t>202</w:t>
      </w:r>
      <w:r>
        <w:rPr>
          <w:rFonts w:hint="eastAsia" w:ascii="Calibri" w:hAnsi="Calibri" w:eastAsia="宋体" w:cs="Times New Roman"/>
          <w:b/>
          <w:bCs/>
          <w:sz w:val="21"/>
          <w:szCs w:val="24"/>
          <w:highlight w:val="none"/>
          <w:lang w:val="en-US" w:eastAsia="zh-CN"/>
        </w:rPr>
        <w:t>5</w:t>
      </w:r>
      <w:r>
        <w:rPr>
          <w:rFonts w:hint="eastAsia" w:ascii="Calibri" w:hAnsi="Calibri" w:eastAsia="宋体" w:cs="Times New Roman"/>
          <w:b/>
          <w:bCs/>
          <w:sz w:val="21"/>
          <w:szCs w:val="24"/>
          <w:highlight w:val="none"/>
        </w:rPr>
        <w:t>年</w:t>
      </w:r>
      <w:r>
        <w:rPr>
          <w:rFonts w:hint="eastAsia" w:ascii="Calibri" w:hAnsi="Calibri" w:eastAsia="宋体" w:cs="Times New Roman"/>
          <w:b/>
          <w:bCs/>
          <w:sz w:val="21"/>
          <w:szCs w:val="24"/>
          <w:highlight w:val="none"/>
          <w:u w:val="single"/>
          <w:lang w:val="en-US" w:eastAsia="zh-CN"/>
        </w:rPr>
        <w:t>5</w:t>
      </w:r>
      <w:r>
        <w:rPr>
          <w:rFonts w:hint="eastAsia" w:ascii="Calibri" w:hAnsi="Calibri" w:eastAsia="宋体" w:cs="Times New Roman"/>
          <w:b/>
          <w:bCs/>
          <w:sz w:val="21"/>
          <w:szCs w:val="24"/>
          <w:highlight w:val="none"/>
        </w:rPr>
        <w:t>月</w:t>
      </w:r>
      <w:r>
        <w:rPr>
          <w:rFonts w:hint="eastAsia" w:ascii="Calibri" w:hAnsi="Calibri" w:eastAsia="宋体" w:cs="Times New Roman"/>
          <w:b/>
          <w:bCs/>
          <w:sz w:val="21"/>
          <w:szCs w:val="24"/>
          <w:highlight w:val="none"/>
          <w:u w:val="single"/>
        </w:rPr>
        <w:t xml:space="preserve"> </w:t>
      </w:r>
      <w:r>
        <w:rPr>
          <w:rFonts w:hint="eastAsia" w:ascii="Calibri" w:hAnsi="Calibri" w:eastAsia="宋体" w:cs="Times New Roman"/>
          <w:b/>
          <w:bCs/>
          <w:sz w:val="21"/>
          <w:szCs w:val="24"/>
          <w:highlight w:val="none"/>
          <w:u w:val="single"/>
          <w:lang w:val="en-US" w:eastAsia="zh-CN"/>
        </w:rPr>
        <w:t>19</w:t>
      </w:r>
      <w:r>
        <w:rPr>
          <w:rFonts w:hint="eastAsia" w:ascii="Calibri" w:hAnsi="Calibri" w:eastAsia="宋体" w:cs="Times New Roman"/>
          <w:b/>
          <w:bCs/>
          <w:sz w:val="21"/>
          <w:szCs w:val="24"/>
          <w:highlight w:val="none"/>
          <w:u w:val="single"/>
        </w:rPr>
        <w:t xml:space="preserve"> </w:t>
      </w:r>
      <w:r>
        <w:rPr>
          <w:rFonts w:hint="eastAsia" w:ascii="Calibri" w:hAnsi="Calibri" w:eastAsia="宋体" w:cs="Times New Roman"/>
          <w:b/>
          <w:bCs/>
          <w:sz w:val="21"/>
          <w:szCs w:val="24"/>
          <w:highlight w:val="none"/>
        </w:rPr>
        <w:t>日</w:t>
      </w:r>
      <w:r>
        <w:rPr>
          <w:rFonts w:hint="eastAsia" w:ascii="Calibri" w:hAnsi="Calibri" w:eastAsia="宋体" w:cs="Times New Roman"/>
          <w:b/>
          <w:bCs/>
          <w:sz w:val="21"/>
          <w:szCs w:val="24"/>
          <w:highlight w:val="none"/>
          <w:lang w:val="en-US" w:eastAsia="zh-CN"/>
        </w:rPr>
        <w:t>9时</w:t>
      </w:r>
      <w:r>
        <w:rPr>
          <w:rFonts w:hint="eastAsia" w:ascii="Calibri" w:hAnsi="Calibri" w:eastAsia="宋体" w:cs="Times New Roman"/>
          <w:b/>
          <w:bCs/>
          <w:sz w:val="21"/>
          <w:szCs w:val="24"/>
          <w:highlight w:val="none"/>
        </w:rPr>
        <w:t>至202</w:t>
      </w:r>
      <w:r>
        <w:rPr>
          <w:rFonts w:hint="eastAsia" w:ascii="Calibri" w:hAnsi="Calibri" w:eastAsia="宋体" w:cs="Times New Roman"/>
          <w:b/>
          <w:bCs/>
          <w:sz w:val="21"/>
          <w:szCs w:val="24"/>
          <w:highlight w:val="none"/>
          <w:lang w:val="en-US" w:eastAsia="zh-CN"/>
        </w:rPr>
        <w:t>5</w:t>
      </w:r>
      <w:r>
        <w:rPr>
          <w:rFonts w:hint="eastAsia" w:ascii="Calibri" w:hAnsi="Calibri" w:eastAsia="宋体" w:cs="Times New Roman"/>
          <w:b/>
          <w:bCs/>
          <w:sz w:val="21"/>
          <w:szCs w:val="24"/>
          <w:highlight w:val="none"/>
        </w:rPr>
        <w:t>年</w:t>
      </w:r>
      <w:r>
        <w:rPr>
          <w:rFonts w:hint="eastAsia" w:ascii="Calibri" w:hAnsi="Calibri" w:eastAsia="宋体" w:cs="Times New Roman"/>
          <w:b/>
          <w:bCs/>
          <w:sz w:val="21"/>
          <w:szCs w:val="24"/>
          <w:highlight w:val="none"/>
          <w:lang w:val="en-US" w:eastAsia="zh-CN"/>
        </w:rPr>
        <w:t>5</w:t>
      </w:r>
      <w:r>
        <w:rPr>
          <w:rFonts w:hint="eastAsia" w:ascii="Calibri" w:hAnsi="Calibri" w:eastAsia="宋体" w:cs="Times New Roman"/>
          <w:b/>
          <w:bCs/>
          <w:sz w:val="21"/>
          <w:szCs w:val="24"/>
          <w:highlight w:val="none"/>
        </w:rPr>
        <w:t>月</w:t>
      </w:r>
      <w:r>
        <w:rPr>
          <w:rFonts w:hint="eastAsia" w:ascii="Calibri" w:hAnsi="Calibri" w:eastAsia="宋体" w:cs="Times New Roman"/>
          <w:b/>
          <w:bCs/>
          <w:sz w:val="21"/>
          <w:szCs w:val="24"/>
          <w:highlight w:val="none"/>
          <w:u w:val="single"/>
        </w:rPr>
        <w:t xml:space="preserve"> </w:t>
      </w:r>
      <w:r>
        <w:rPr>
          <w:rFonts w:hint="eastAsia" w:ascii="Calibri" w:hAnsi="Calibri" w:eastAsia="宋体" w:cs="Times New Roman"/>
          <w:b/>
          <w:bCs/>
          <w:sz w:val="21"/>
          <w:szCs w:val="24"/>
          <w:highlight w:val="none"/>
          <w:u w:val="single"/>
          <w:lang w:val="en-US" w:eastAsia="zh-CN"/>
        </w:rPr>
        <w:t>23</w:t>
      </w:r>
      <w:r>
        <w:rPr>
          <w:rFonts w:hint="eastAsia" w:ascii="Calibri" w:hAnsi="Calibri" w:eastAsia="宋体" w:cs="Times New Roman"/>
          <w:b/>
          <w:bCs/>
          <w:sz w:val="21"/>
          <w:szCs w:val="24"/>
          <w:highlight w:val="none"/>
          <w:u w:val="single"/>
        </w:rPr>
        <w:t xml:space="preserve"> </w:t>
      </w:r>
      <w:r>
        <w:rPr>
          <w:rFonts w:hint="eastAsia" w:ascii="Calibri" w:hAnsi="Calibri" w:eastAsia="宋体" w:cs="Times New Roman"/>
          <w:b/>
          <w:bCs/>
          <w:sz w:val="21"/>
          <w:szCs w:val="24"/>
          <w:highlight w:val="none"/>
        </w:rPr>
        <w:t>日18时</w:t>
      </w:r>
      <w:r>
        <w:rPr>
          <w:rFonts w:hint="eastAsia" w:ascii="Calibri" w:hAnsi="Calibri" w:eastAsia="宋体" w:cs="Times New Roman"/>
          <w:sz w:val="21"/>
          <w:szCs w:val="24"/>
          <w:highlight w:val="none"/>
        </w:rPr>
        <w:t>前，携带单位介绍信或授权委托书至江苏仁禾中衡工程咨询房地产估价有限公司（盐城市人民南路国际创投中心南四楼3A06室）报名购买招标文件。</w:t>
      </w:r>
    </w:p>
    <w:p w14:paraId="5620E331">
      <w:pPr>
        <w:widowControl/>
        <w:spacing w:line="480" w:lineRule="exact"/>
        <w:ind w:firstLine="480"/>
        <w:rPr>
          <w:rFonts w:hint="eastAsia" w:ascii="Calibri" w:hAnsi="Calibri" w:eastAsia="宋体" w:cs="Times New Roman"/>
          <w:sz w:val="21"/>
          <w:szCs w:val="24"/>
          <w:highlight w:val="none"/>
        </w:rPr>
      </w:pPr>
      <w:r>
        <w:rPr>
          <w:rFonts w:hint="eastAsia" w:ascii="Calibri" w:hAnsi="Calibri" w:eastAsia="宋体" w:cs="Times New Roman"/>
          <w:sz w:val="21"/>
          <w:szCs w:val="24"/>
          <w:highlight w:val="none"/>
        </w:rPr>
        <w:t>2、投标文件的递交截止时间（开标时间）：</w:t>
      </w:r>
      <w:r>
        <w:rPr>
          <w:rFonts w:hint="eastAsia" w:ascii="Calibri" w:hAnsi="Calibri" w:eastAsia="宋体" w:cs="Times New Roman"/>
          <w:b/>
          <w:bCs/>
          <w:sz w:val="21"/>
          <w:szCs w:val="24"/>
          <w:highlight w:val="none"/>
        </w:rPr>
        <w:t>202</w:t>
      </w:r>
      <w:r>
        <w:rPr>
          <w:rFonts w:hint="eastAsia" w:ascii="Calibri" w:hAnsi="Calibri" w:eastAsia="宋体" w:cs="Times New Roman"/>
          <w:b/>
          <w:bCs/>
          <w:sz w:val="21"/>
          <w:szCs w:val="24"/>
          <w:highlight w:val="none"/>
          <w:lang w:val="en-US" w:eastAsia="zh-CN"/>
        </w:rPr>
        <w:t>5</w:t>
      </w:r>
      <w:r>
        <w:rPr>
          <w:rFonts w:hint="eastAsia" w:ascii="Calibri" w:hAnsi="Calibri" w:eastAsia="宋体" w:cs="Times New Roman"/>
          <w:b/>
          <w:bCs/>
          <w:sz w:val="21"/>
          <w:szCs w:val="24"/>
          <w:highlight w:val="none"/>
        </w:rPr>
        <w:t>年</w:t>
      </w:r>
      <w:r>
        <w:rPr>
          <w:rFonts w:hint="eastAsia" w:ascii="Calibri" w:hAnsi="Calibri" w:eastAsia="宋体" w:cs="Times New Roman"/>
          <w:b/>
          <w:bCs/>
          <w:sz w:val="21"/>
          <w:szCs w:val="24"/>
          <w:highlight w:val="none"/>
          <w:lang w:val="en-US" w:eastAsia="zh-CN"/>
        </w:rPr>
        <w:t>5</w:t>
      </w:r>
      <w:r>
        <w:rPr>
          <w:rFonts w:hint="eastAsia" w:ascii="Calibri" w:hAnsi="Calibri" w:eastAsia="宋体" w:cs="Times New Roman"/>
          <w:b/>
          <w:bCs/>
          <w:sz w:val="21"/>
          <w:szCs w:val="24"/>
          <w:highlight w:val="none"/>
        </w:rPr>
        <w:t>月</w:t>
      </w:r>
      <w:r>
        <w:rPr>
          <w:rFonts w:hint="eastAsia" w:ascii="Calibri" w:hAnsi="Calibri" w:eastAsia="宋体" w:cs="Times New Roman"/>
          <w:b/>
          <w:bCs/>
          <w:sz w:val="21"/>
          <w:szCs w:val="24"/>
          <w:highlight w:val="none"/>
          <w:u w:val="single"/>
        </w:rPr>
        <w:t xml:space="preserve"> </w:t>
      </w:r>
      <w:r>
        <w:rPr>
          <w:rFonts w:hint="eastAsia" w:ascii="Calibri" w:hAnsi="Calibri" w:eastAsia="宋体" w:cs="Times New Roman"/>
          <w:b/>
          <w:bCs/>
          <w:sz w:val="21"/>
          <w:szCs w:val="24"/>
          <w:highlight w:val="none"/>
          <w:u w:val="single"/>
          <w:lang w:val="en-US" w:eastAsia="zh-CN"/>
        </w:rPr>
        <w:t>28</w:t>
      </w:r>
      <w:r>
        <w:rPr>
          <w:rFonts w:hint="eastAsia" w:ascii="Calibri" w:hAnsi="Calibri" w:eastAsia="宋体" w:cs="Times New Roman"/>
          <w:b/>
          <w:bCs/>
          <w:sz w:val="21"/>
          <w:szCs w:val="24"/>
          <w:highlight w:val="none"/>
          <w:u w:val="single"/>
        </w:rPr>
        <w:t xml:space="preserve">  </w:t>
      </w:r>
      <w:r>
        <w:rPr>
          <w:rFonts w:hint="eastAsia" w:ascii="Calibri" w:hAnsi="Calibri" w:eastAsia="宋体" w:cs="Times New Roman"/>
          <w:b/>
          <w:bCs/>
          <w:sz w:val="21"/>
          <w:szCs w:val="24"/>
          <w:highlight w:val="none"/>
        </w:rPr>
        <w:t>日</w:t>
      </w:r>
      <w:r>
        <w:rPr>
          <w:rFonts w:hint="eastAsia" w:ascii="Calibri" w:hAnsi="Calibri" w:eastAsia="宋体" w:cs="Times New Roman"/>
          <w:b/>
          <w:bCs/>
          <w:sz w:val="21"/>
          <w:szCs w:val="24"/>
          <w:highlight w:val="none"/>
          <w:u w:val="single"/>
        </w:rPr>
        <w:t xml:space="preserve"> </w:t>
      </w:r>
      <w:r>
        <w:rPr>
          <w:rFonts w:hint="eastAsia" w:ascii="Calibri" w:hAnsi="Calibri" w:eastAsia="宋体" w:cs="Times New Roman"/>
          <w:b/>
          <w:bCs/>
          <w:sz w:val="21"/>
          <w:szCs w:val="24"/>
          <w:highlight w:val="none"/>
          <w:u w:val="single"/>
          <w:lang w:val="en-US" w:eastAsia="zh-CN"/>
        </w:rPr>
        <w:t>9</w:t>
      </w:r>
      <w:r>
        <w:rPr>
          <w:rFonts w:hint="eastAsia" w:ascii="Calibri" w:hAnsi="Calibri" w:eastAsia="宋体" w:cs="Times New Roman"/>
          <w:b/>
          <w:bCs/>
          <w:sz w:val="21"/>
          <w:szCs w:val="24"/>
          <w:highlight w:val="none"/>
          <w:u w:val="single"/>
        </w:rPr>
        <w:t xml:space="preserve"> </w:t>
      </w:r>
      <w:r>
        <w:rPr>
          <w:rFonts w:hint="eastAsia" w:ascii="Calibri" w:hAnsi="Calibri" w:eastAsia="宋体" w:cs="Times New Roman"/>
          <w:b/>
          <w:bCs/>
          <w:sz w:val="21"/>
          <w:szCs w:val="24"/>
          <w:highlight w:val="none"/>
        </w:rPr>
        <w:t>：00时</w:t>
      </w:r>
      <w:r>
        <w:rPr>
          <w:rFonts w:hint="eastAsia" w:ascii="Calibri" w:hAnsi="Calibri" w:eastAsia="宋体" w:cs="Times New Roman"/>
          <w:sz w:val="21"/>
          <w:szCs w:val="24"/>
          <w:highlight w:val="none"/>
        </w:rPr>
        <w:t>。</w:t>
      </w:r>
    </w:p>
    <w:p w14:paraId="01CC5094">
      <w:pPr>
        <w:widowControl/>
        <w:spacing w:line="480" w:lineRule="exact"/>
        <w:ind w:firstLine="480"/>
        <w:rPr>
          <w:rFonts w:ascii="Calibri" w:hAnsi="Calibri" w:eastAsia="宋体" w:cs="Times New Roman"/>
          <w:sz w:val="21"/>
          <w:szCs w:val="24"/>
          <w:highlight w:val="none"/>
        </w:rPr>
      </w:pPr>
      <w:r>
        <w:rPr>
          <w:rFonts w:hint="eastAsia" w:ascii="Calibri" w:hAnsi="Calibri" w:eastAsia="宋体" w:cs="Times New Roman"/>
          <w:sz w:val="21"/>
          <w:szCs w:val="24"/>
          <w:highlight w:val="none"/>
        </w:rPr>
        <w:t>3、投标文件的递交地点（开标地点）：学海路科创大厦南楼1</w:t>
      </w:r>
      <w:r>
        <w:rPr>
          <w:rFonts w:hint="eastAsia" w:ascii="Calibri" w:hAnsi="Calibri" w:eastAsia="宋体" w:cs="Times New Roman"/>
          <w:sz w:val="21"/>
          <w:szCs w:val="24"/>
          <w:highlight w:val="none"/>
          <w:lang w:val="en-US" w:eastAsia="zh-CN"/>
        </w:rPr>
        <w:t>2</w:t>
      </w:r>
      <w:r>
        <w:rPr>
          <w:rFonts w:hint="eastAsia" w:ascii="Calibri" w:hAnsi="Calibri" w:eastAsia="宋体" w:cs="Times New Roman"/>
          <w:sz w:val="21"/>
          <w:szCs w:val="24"/>
          <w:highlight w:val="none"/>
        </w:rPr>
        <w:t>楼会议室。</w:t>
      </w:r>
    </w:p>
    <w:p w14:paraId="0111E963">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五、投标保证金的缴纳与退还</w:t>
      </w:r>
    </w:p>
    <w:p w14:paraId="25A081C1">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5.1投标人在递交投标文件的同时，应按规定的金额、形式递交投标保证金，并作为其投标文件的组成部分。联合体投标的，其投标保证金有牵头人递交，并应符合有关规定。</w:t>
      </w:r>
    </w:p>
    <w:p w14:paraId="494D5C2E">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5.2本项目投标保证金数额：</w:t>
      </w:r>
      <w:r>
        <w:rPr>
          <w:rFonts w:hint="eastAsia" w:ascii="宋体" w:hAnsi="宋体" w:eastAsia="宋体" w:cs="宋体"/>
          <w:b/>
          <w:bCs/>
          <w:sz w:val="21"/>
          <w:szCs w:val="21"/>
          <w:highlight w:val="none"/>
          <w:u w:val="single"/>
        </w:rPr>
        <w:t>伍仟元</w:t>
      </w:r>
      <w:r>
        <w:rPr>
          <w:rFonts w:hint="eastAsia" w:ascii="宋体" w:hAnsi="宋体" w:eastAsia="宋体" w:cs="宋体"/>
          <w:sz w:val="21"/>
          <w:szCs w:val="21"/>
          <w:highlight w:val="none"/>
        </w:rPr>
        <w:t>。投标人须在本项目开标前办理投标保证金缴纳手续，投标保证金有效期与投标有效期一致。各投标人必须以企业法人基本存款账户办理保证金缴纳手续，否则不予接受。</w:t>
      </w:r>
    </w:p>
    <w:p w14:paraId="4EFBCFD2">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5.2.1投标保证金可采用现金、电子保函（保单）形式，投标人根据企业实际情况合理选择投标保证金的缴纳形式，不同缴纳形式具有同等法律效力。具体缴纳方式为：</w:t>
      </w:r>
    </w:p>
    <w:p w14:paraId="4256AF22">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5.2.1.1</w:t>
      </w:r>
      <w:r>
        <w:rPr>
          <w:rFonts w:hint="eastAsia" w:ascii="宋体" w:hAnsi="宋体" w:eastAsia="宋体" w:cs="宋体"/>
          <w:b/>
          <w:sz w:val="21"/>
          <w:szCs w:val="21"/>
          <w:highlight w:val="none"/>
        </w:rPr>
        <w:t>现</w:t>
      </w:r>
      <w:r>
        <w:rPr>
          <w:rFonts w:hint="eastAsia" w:ascii="宋体" w:hAnsi="宋体" w:eastAsia="宋体" w:cs="宋体"/>
          <w:b/>
          <w:color w:val="000000"/>
          <w:kern w:val="0"/>
          <w:sz w:val="21"/>
          <w:szCs w:val="21"/>
          <w:highlight w:val="none"/>
        </w:rPr>
        <w:t>金缴纳方式</w:t>
      </w:r>
      <w:r>
        <w:rPr>
          <w:rFonts w:hint="eastAsia" w:ascii="宋体" w:hAnsi="宋体" w:eastAsia="宋体" w:cs="宋体"/>
          <w:color w:val="000000"/>
          <w:kern w:val="0"/>
          <w:sz w:val="21"/>
          <w:szCs w:val="21"/>
          <w:highlight w:val="none"/>
        </w:rPr>
        <w:t>：采用转账、银行汇票、本票等形式。投标人须在投标截止时间前将投标保证金从投标人本单位的基本账户上汇出（以投标人汇出资金的银行日期为准，且保证金汇出单位必须与投标人名称一致）。收款人名称：盐城市大数据集团有限公司，开户行：兴业银行盐城分行，开户行账号：402010100100050711。投标截止时间之前，各投标人将加盖投标单位公章的转账截图（转账须备注项目名称）或银行汇票或银行本票原件及加盖投标单位公章的基本户开户许可证带至开标现场交工作人员核验。未按招标文件约定要求缴纳投标保证金，其投标文件不予接收。</w:t>
      </w:r>
    </w:p>
    <w:p w14:paraId="58430AD5">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5.2.1.2</w:t>
      </w:r>
      <w:r>
        <w:rPr>
          <w:rFonts w:hint="eastAsia" w:ascii="宋体" w:hAnsi="宋体" w:eastAsia="宋体" w:cs="宋体"/>
          <w:b/>
          <w:color w:val="000000"/>
          <w:kern w:val="0"/>
          <w:sz w:val="21"/>
          <w:szCs w:val="21"/>
          <w:highlight w:val="none"/>
        </w:rPr>
        <w:t>采用银行保函缴纳</w:t>
      </w:r>
      <w:r>
        <w:rPr>
          <w:rFonts w:hint="eastAsia" w:ascii="宋体" w:hAnsi="宋体" w:eastAsia="宋体" w:cs="宋体"/>
          <w:color w:val="000000"/>
          <w:kern w:val="0"/>
          <w:sz w:val="21"/>
          <w:szCs w:val="21"/>
          <w:highlight w:val="none"/>
        </w:rPr>
        <w:t>：投标人须在投标截止时间前将投标人基本账户开户行出具的银行保函原件带至开标现场交工作人员核验。</w:t>
      </w:r>
    </w:p>
    <w:p w14:paraId="3E61341A">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5.2.1.3</w:t>
      </w:r>
      <w:r>
        <w:rPr>
          <w:rFonts w:hint="eastAsia" w:ascii="宋体" w:hAnsi="宋体" w:eastAsia="宋体" w:cs="宋体"/>
          <w:b/>
          <w:sz w:val="21"/>
          <w:szCs w:val="21"/>
          <w:highlight w:val="none"/>
        </w:rPr>
        <w:t>对信用服务机构依据《江苏省企业信用评价指引（试行）》（苏信用办〔2021 ] 17号）评定为 AA 级及以上的投标人免交投标保证金</w:t>
      </w:r>
      <w:r>
        <w:rPr>
          <w:rFonts w:hint="eastAsia" w:ascii="宋体" w:hAnsi="宋体" w:eastAsia="宋体" w:cs="宋体"/>
          <w:sz w:val="21"/>
          <w:szCs w:val="21"/>
          <w:highlight w:val="none"/>
        </w:rPr>
        <w:t>，投标时需提供经市发展改革委（市信用办）备案的第三方信用报告原件彩色扫描件，且信用报告概述页等内容通过“信用盐城网”可查证。</w:t>
      </w:r>
    </w:p>
    <w:p w14:paraId="399EB7C4">
      <w:pPr>
        <w:spacing w:line="520" w:lineRule="exact"/>
        <w:ind w:firstLine="420" w:firstLineChars="200"/>
        <w:rPr>
          <w:rFonts w:ascii="宋体" w:hAnsi="宋体" w:eastAsia="宋体" w:cs="宋体"/>
          <w:sz w:val="21"/>
          <w:szCs w:val="21"/>
          <w:highlight w:val="none"/>
        </w:rPr>
      </w:pPr>
      <w:r>
        <w:rPr>
          <w:rFonts w:hint="eastAsia" w:ascii="宋体" w:hAnsi="宋体" w:eastAsia="宋体" w:cs="宋体"/>
          <w:sz w:val="21"/>
          <w:szCs w:val="21"/>
          <w:highlight w:val="none"/>
        </w:rPr>
        <w:t>5.2.1.4</w:t>
      </w:r>
      <w:r>
        <w:rPr>
          <w:rFonts w:ascii="宋体" w:hAnsi="宋体" w:eastAsia="宋体" w:cs="宋体"/>
          <w:b/>
          <w:sz w:val="21"/>
          <w:szCs w:val="21"/>
          <w:highlight w:val="none"/>
        </w:rPr>
        <w:t>信用承诺替代投标保证金</w:t>
      </w:r>
      <w:r>
        <w:rPr>
          <w:rFonts w:ascii="宋体" w:hAnsi="宋体" w:eastAsia="宋体" w:cs="宋体"/>
          <w:sz w:val="21"/>
          <w:szCs w:val="21"/>
          <w:highlight w:val="none"/>
        </w:rPr>
        <w:t>。</w:t>
      </w:r>
      <w:r>
        <w:rPr>
          <w:rFonts w:hint="eastAsia" w:ascii="宋体" w:hAnsi="宋体" w:eastAsia="宋体" w:cs="宋体"/>
          <w:sz w:val="21"/>
          <w:szCs w:val="21"/>
          <w:highlight w:val="none"/>
        </w:rPr>
        <w:t>本项目接受投标人以“投标保证金信用承诺函”方式替代投标保证金，投标保证金信用承诺函作为投标文件组成部分一并提交招标人，除法定例外情况，在有效期内(提交投标文件截止时间后到招标文件规定投标有效期终止前)不得撤销撤回(投标保证金信用承诺函参照附件A)。</w:t>
      </w:r>
    </w:p>
    <w:p w14:paraId="72E88BF4">
      <w:pPr>
        <w:spacing w:line="520" w:lineRule="exact"/>
        <w:ind w:firstLine="420" w:firstLineChars="200"/>
        <w:rPr>
          <w:rFonts w:ascii="宋体" w:hAnsi="宋体" w:eastAsia="宋体" w:cs="宋体"/>
          <w:sz w:val="21"/>
          <w:szCs w:val="21"/>
          <w:highlight w:val="none"/>
        </w:rPr>
      </w:pPr>
      <w:r>
        <w:rPr>
          <w:rFonts w:hint="eastAsia" w:ascii="宋体" w:hAnsi="宋体" w:eastAsia="宋体" w:cs="宋体"/>
          <w:sz w:val="21"/>
          <w:szCs w:val="21"/>
          <w:highlight w:val="none"/>
        </w:rPr>
        <w:t>采用投标保证金信用承诺替代投标保证金的投标人需信用良好，其中以联合体形式投标并采用信用承诺函替代投标保证金的，联合体各成员均须出具投标保证金信用承诺函。</w:t>
      </w:r>
    </w:p>
    <w:p w14:paraId="4C830281">
      <w:pPr>
        <w:spacing w:line="520" w:lineRule="exact"/>
        <w:ind w:firstLine="420" w:firstLineChars="200"/>
        <w:rPr>
          <w:rFonts w:ascii="宋体" w:hAnsi="宋体" w:eastAsia="宋体" w:cs="宋体"/>
          <w:sz w:val="21"/>
          <w:szCs w:val="21"/>
          <w:highlight w:val="none"/>
        </w:rPr>
      </w:pPr>
      <w:r>
        <w:rPr>
          <w:rFonts w:hint="eastAsia" w:ascii="宋体" w:hAnsi="宋体" w:eastAsia="宋体" w:cs="宋体"/>
          <w:sz w:val="21"/>
          <w:szCs w:val="21"/>
          <w:highlight w:val="none"/>
        </w:rPr>
        <w:t>在我市公共资源交易领域存在履约不良行为，并在被记录有效期内的投标人，自动丧失在全市工程建设项目招投标中使用“投标保证金信用承诺函”资格，全市工程建设项目招标人均可拒绝接受其使用“投标保证金信用承诺函”。</w:t>
      </w:r>
    </w:p>
    <w:p w14:paraId="4B5EB1A4">
      <w:pPr>
        <w:spacing w:line="520" w:lineRule="exact"/>
        <w:ind w:firstLine="420" w:firstLineChars="200"/>
        <w:rPr>
          <w:rFonts w:ascii="宋体" w:hAnsi="宋体" w:eastAsia="宋体" w:cs="宋体"/>
          <w:sz w:val="21"/>
          <w:szCs w:val="21"/>
          <w:highlight w:val="none"/>
        </w:rPr>
      </w:pPr>
      <w:r>
        <w:rPr>
          <w:rFonts w:hint="eastAsia" w:ascii="宋体" w:hAnsi="宋体" w:eastAsia="宋体" w:cs="宋体"/>
          <w:sz w:val="21"/>
          <w:szCs w:val="21"/>
          <w:highlight w:val="none"/>
        </w:rPr>
        <w:t xml:space="preserve">采用信用承诺替代投标保证金的，不免除投标人违法、违规、违约责任的义务。 </w:t>
      </w:r>
    </w:p>
    <w:p w14:paraId="2FCC4470">
      <w:pPr>
        <w:spacing w:line="520" w:lineRule="exact"/>
        <w:ind w:firstLine="422" w:firstLineChars="200"/>
        <w:rPr>
          <w:rFonts w:ascii="宋体" w:hAnsi="宋体" w:eastAsia="宋体" w:cs="宋体"/>
          <w:b/>
          <w:bCs/>
          <w:sz w:val="21"/>
          <w:szCs w:val="21"/>
          <w:highlight w:val="none"/>
        </w:rPr>
      </w:pPr>
      <w:r>
        <w:rPr>
          <w:rFonts w:hint="eastAsia" w:ascii="宋体" w:hAnsi="宋体" w:eastAsia="宋体" w:cs="宋体"/>
          <w:b/>
          <w:bCs/>
          <w:sz w:val="21"/>
          <w:szCs w:val="21"/>
          <w:highlight w:val="none"/>
        </w:rPr>
        <w:t>未按上述要求交纳投标保证金的，经评标委员会认定后，其投标文件为无效投标文件。</w:t>
      </w:r>
    </w:p>
    <w:p w14:paraId="180D179D">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5.3投标保证金的退还</w:t>
      </w:r>
    </w:p>
    <w:p w14:paraId="19B20FFE">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5.3.1有投诉(异议)的项目，所有投标人投标保证金一律暂不退还。</w:t>
      </w:r>
    </w:p>
    <w:p w14:paraId="15AA4024">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因恶意投诉（异议）的、利用保密信息投诉的及投诉（异议）不实的投诉行为被通报的，自通报之日起6个月内，投诉（异议）人所有投标项目的投标保证金在招标项目签订合同后予以退还。</w:t>
      </w:r>
    </w:p>
    <w:p w14:paraId="123DCF0F">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投诉人故意捏造事实、伪造证明材料或者以非法手段取得证明材料进行投诉的给他人造成的损失的，投诉人依法承担赔偿责任。招标人直接扣减相应数额，确认应予退还保证金的数额，并经监管机关存档后，办理退款手续。</w:t>
      </w:r>
    </w:p>
    <w:p w14:paraId="6BFCABB9">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5.3.2保证金退还时间：</w:t>
      </w:r>
    </w:p>
    <w:p w14:paraId="01A8FC04">
      <w:pPr>
        <w:spacing w:line="500" w:lineRule="exact"/>
        <w:ind w:firstLine="420" w:firstLineChars="200"/>
        <w:contextualSpacing/>
        <w:rPr>
          <w:rFonts w:ascii="宋体" w:hAnsi="宋体" w:eastAsia="宋体" w:cs="宋体"/>
          <w:sz w:val="21"/>
          <w:szCs w:val="21"/>
          <w:highlight w:val="none"/>
        </w:rPr>
      </w:pPr>
      <w:r>
        <w:rPr>
          <w:rFonts w:hint="eastAsia" w:ascii="宋体" w:hAnsi="宋体" w:eastAsia="宋体" w:cs="宋体"/>
          <w:sz w:val="21"/>
          <w:szCs w:val="21"/>
          <w:highlight w:val="none"/>
        </w:rPr>
        <w:t>如无投诉等特殊情况，中标结果公示期满后7个工作日内，退还非中标人的投标保证金。中标人投标保证金在履约保证金缴纳后退还。</w:t>
      </w:r>
      <w:r>
        <w:rPr>
          <w:rFonts w:hint="eastAsia" w:ascii="宋体" w:hAnsi="宋体" w:eastAsia="宋体" w:cs="宋体"/>
          <w:sz w:val="21"/>
          <w:szCs w:val="21"/>
          <w:highlight w:val="none"/>
        </w:rPr>
        <w:br w:type="textWrapping"/>
      </w:r>
      <w:r>
        <w:rPr>
          <w:rFonts w:hint="eastAsia" w:ascii="宋体" w:hAnsi="宋体" w:eastAsia="宋体" w:cs="宋体"/>
          <w:sz w:val="21"/>
          <w:szCs w:val="21"/>
          <w:highlight w:val="none"/>
        </w:rPr>
        <w:t xml:space="preserve">    备注：以现金形式缴纳的投标保证金，向中标人和未中标的投标人退还投标保证金时同时退还银行同期存款利息。以保函（保单）形式缴纳的保证金按相关协议执行，无需办理退款手续。</w:t>
      </w:r>
    </w:p>
    <w:p w14:paraId="513B3DB6">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5.3.3有下列情形之一的，投标保证金将不予退还：</w:t>
      </w:r>
    </w:p>
    <w:p w14:paraId="5D16A92D">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①投标人在规定的投标有效期内撤销或修改其投标文件的；</w:t>
      </w:r>
    </w:p>
    <w:p w14:paraId="39676B2D">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②中标人无正当理由拒绝签订合同；</w:t>
      </w:r>
    </w:p>
    <w:p w14:paraId="6AEC0760">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③中标人弄虚作假骗取中标，其他投标虚假、恶意投诉或反映，干扰招投标活动的；</w:t>
      </w:r>
    </w:p>
    <w:p w14:paraId="6403BA9A">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④中标项目经理被反映或投诉有在建工程，投标人及项目经理业绩为虚假业绩，并经查属实的。</w:t>
      </w:r>
    </w:p>
    <w:p w14:paraId="01C2521C">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⑤招标人保留对中标人实地考察的权利，如在实地考察过程中发现中标人投标时提供的相关材料、证明、业绩等与实地考察结果不符，存在弄虚作假情况的，将取消其中标资格，并不予退还其投标保证金，同时已完工程量不予结算。</w:t>
      </w:r>
    </w:p>
    <w:p w14:paraId="54EE7680">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六、本项目评标、定标办法采用“综合评估法”，具体内容详见招标文件。</w:t>
      </w:r>
    </w:p>
    <w:p w14:paraId="3D53F916">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七、本工程严禁挂靠、转包，一经核实挂靠、转包的，将被取消投标、中标资格，并按相关规定进行处罚，直至建议有关部门吊销资质证书。</w:t>
      </w:r>
    </w:p>
    <w:p w14:paraId="0C522CEA">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九、联系方式</w:t>
      </w:r>
    </w:p>
    <w:p w14:paraId="0A54DE96">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招标人：盐城市大数据集团有限公司</w:t>
      </w:r>
    </w:p>
    <w:p w14:paraId="29B4F909">
      <w:pPr>
        <w:widowControl/>
        <w:spacing w:line="480" w:lineRule="exact"/>
        <w:ind w:firstLine="48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联系人：</w:t>
      </w:r>
      <w:r>
        <w:rPr>
          <w:rFonts w:hint="eastAsia" w:ascii="宋体" w:hAnsi="宋体" w:eastAsia="宋体" w:cs="宋体"/>
          <w:sz w:val="21"/>
          <w:szCs w:val="21"/>
          <w:highlight w:val="none"/>
          <w:lang w:val="en-US" w:eastAsia="zh-CN"/>
        </w:rPr>
        <w:t>孙主任</w:t>
      </w:r>
    </w:p>
    <w:p w14:paraId="4B3F514C">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lang w:val="en-US" w:eastAsia="zh-CN"/>
        </w:rPr>
        <w:t>19962370916</w:t>
      </w:r>
      <w:r>
        <w:rPr>
          <w:rFonts w:hint="eastAsia" w:ascii="宋体" w:hAnsi="宋体" w:eastAsia="宋体" w:cs="宋体"/>
          <w:sz w:val="21"/>
          <w:szCs w:val="21"/>
          <w:highlight w:val="none"/>
        </w:rPr>
        <w:t xml:space="preserve"> </w:t>
      </w:r>
    </w:p>
    <w:p w14:paraId="39563CE1">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 </w:t>
      </w:r>
    </w:p>
    <w:p w14:paraId="69ACC4BD">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招标代理机构：江苏仁禾中衡工程咨询房地产估价有限公司</w:t>
      </w:r>
    </w:p>
    <w:p w14:paraId="12BE3A2E">
      <w:pPr>
        <w:widowControl/>
        <w:spacing w:line="480" w:lineRule="exact"/>
        <w:ind w:firstLine="48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联系人：</w:t>
      </w:r>
      <w:r>
        <w:rPr>
          <w:rFonts w:hint="eastAsia" w:ascii="宋体" w:hAnsi="宋体" w:eastAsia="宋体" w:cs="宋体"/>
          <w:sz w:val="21"/>
          <w:szCs w:val="21"/>
          <w:highlight w:val="none"/>
          <w:lang w:val="en-US" w:eastAsia="zh-CN"/>
        </w:rPr>
        <w:t>金工</w:t>
      </w:r>
    </w:p>
    <w:p w14:paraId="4A28CD24">
      <w:pPr>
        <w:widowControl/>
        <w:spacing w:line="480" w:lineRule="exact"/>
        <w:ind w:firstLine="48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r>
        <w:rPr>
          <w:rFonts w:hint="eastAsia" w:ascii="宋体" w:hAnsi="宋体" w:eastAsia="宋体" w:cs="宋体"/>
          <w:sz w:val="21"/>
          <w:szCs w:val="21"/>
          <w:highlight w:val="none"/>
          <w:lang w:val="en-US" w:eastAsia="zh-CN"/>
        </w:rPr>
        <w:t>0515-68868311</w:t>
      </w:r>
    </w:p>
    <w:p w14:paraId="34C900C8">
      <w:pPr>
        <w:widowControl/>
        <w:spacing w:line="480" w:lineRule="exact"/>
        <w:ind w:firstLine="48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监督电话：18351277636（陈先生）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japaneseCounting"/>
      <w:pStyle w:val="2"/>
      <w:lvlText w:val="%1、"/>
      <w:lvlJc w:val="left"/>
      <w:pPr>
        <w:tabs>
          <w:tab w:val="left" w:pos="720"/>
        </w:tabs>
        <w:ind w:left="720"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